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030"/>
        <w:gridCol w:w="1251"/>
        <w:gridCol w:w="761"/>
        <w:gridCol w:w="343"/>
        <w:gridCol w:w="226"/>
        <w:gridCol w:w="147"/>
        <w:gridCol w:w="1896"/>
        <w:gridCol w:w="57"/>
        <w:gridCol w:w="1010"/>
        <w:gridCol w:w="91"/>
        <w:gridCol w:w="994"/>
        <w:gridCol w:w="114"/>
      </w:tblGrid>
      <w:tr w:rsidR="00B10B12" w:rsidRPr="00A11BA2" w14:paraId="306FDD42" w14:textId="77777777" w:rsidTr="006F14A7">
        <w:trPr>
          <w:gridAfter w:val="1"/>
          <w:wAfter w:w="114" w:type="dxa"/>
          <w:trHeight w:val="324"/>
        </w:trPr>
        <w:tc>
          <w:tcPr>
            <w:tcW w:w="4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5473" w14:textId="77777777" w:rsidR="00B10B12" w:rsidRPr="00A11BA2" w:rsidRDefault="00CD774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11BA2">
              <w:rPr>
                <w:rFonts w:ascii="Arial" w:hAnsi="Arial" w:cs="Arial"/>
                <w:b/>
                <w:sz w:val="20"/>
                <w:szCs w:val="20"/>
              </w:rPr>
              <w:t>Vereniging tegen de Kwakzalverij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9F03" w14:textId="77777777" w:rsidR="00B10B12" w:rsidRPr="00A11BA2" w:rsidRDefault="00B10B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0AC2" w14:textId="77777777" w:rsidR="00B10B12" w:rsidRPr="00A11BA2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980D" w14:textId="77777777" w:rsidR="00B10B12" w:rsidRPr="00A11BA2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3A49" w14:textId="77777777" w:rsidR="00B10B12" w:rsidRPr="00A11BA2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4A7" w14:paraId="4FFE1CE1" w14:textId="77777777" w:rsidTr="006F14A7">
        <w:trPr>
          <w:gridBefore w:val="1"/>
          <w:wBefore w:w="10" w:type="dxa"/>
          <w:trHeight w:val="290"/>
        </w:trPr>
        <w:tc>
          <w:tcPr>
            <w:tcW w:w="892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B5163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balans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 31 augustus 2021</w:t>
            </w:r>
          </w:p>
        </w:tc>
      </w:tr>
      <w:tr w:rsidR="006F14A7" w14:paraId="332397C7" w14:textId="77777777" w:rsidTr="00512DF1">
        <w:trPr>
          <w:gridBefore w:val="1"/>
          <w:wBefore w:w="10" w:type="dxa"/>
          <w:trHeight w:val="300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6BC60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bedragen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euro's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5AA82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B0BD3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8C40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2AA0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5F885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BC93B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4A7" w14:paraId="05F3B2D5" w14:textId="77777777" w:rsidTr="00512DF1">
        <w:trPr>
          <w:gridBefore w:val="1"/>
          <w:wBefore w:w="10" w:type="dxa"/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78281BC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4B7FE55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31-8-2021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A4F898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31-8-2020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1A068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AD390AB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PASSIVA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61E221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31-8-2021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CBA4C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31-8-2020</w:t>
            </w:r>
          </w:p>
        </w:tc>
      </w:tr>
      <w:tr w:rsidR="006F14A7" w14:paraId="31FB11AD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3D5A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vaste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8F14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1B9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F8A2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420F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eigen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vermogen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0B46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D65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4A7" w14:paraId="0A026577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E65A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geen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CFA2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3185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B9F2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6018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algemene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30C5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72.838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3F3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65.997</w:t>
            </w:r>
          </w:p>
        </w:tc>
      </w:tr>
      <w:tr w:rsidR="006F14A7" w14:paraId="3D87F989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44F3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A04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4E9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4DD8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3115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D5C3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593A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4A7" w14:paraId="60872CD1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D317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D66C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C880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931E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BDB7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vreemd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vermogen 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EAD4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7638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F14A7" w14:paraId="4B1EA403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430A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CCC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09F7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2C50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BBE6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414A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2D0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4A7" w14:paraId="5562CDD6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E7BF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vlottende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05D" w14:textId="77777777" w:rsidR="006F14A7" w:rsidRDefault="006F1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1DE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F293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AB79" w14:textId="77777777" w:rsidR="006F14A7" w:rsidRDefault="006F14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vlottende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passiva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1208" w14:textId="77777777" w:rsidR="006F14A7" w:rsidRDefault="006F14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4EA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4A7" w14:paraId="33513ECA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79DC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liquide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middelen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D513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FFD0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418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4C23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reserve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symposium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B860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16A9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</w:tr>
      <w:tr w:rsidR="006F14A7" w14:paraId="5323DE64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CB7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rekening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courant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C072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42.492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B8B3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7.151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51FE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4221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lening</w:t>
            </w:r>
            <w:proofErr w:type="gramEnd"/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E96B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A42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</w:tr>
      <w:tr w:rsidR="006F14A7" w14:paraId="7F91EE44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90F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kapitaalrekening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B90C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42.346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ED5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70.846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2363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8E24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F1B1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B76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4A7" w14:paraId="4CD172DD" w14:textId="77777777" w:rsidTr="00512DF1">
        <w:trPr>
          <w:gridBefore w:val="1"/>
          <w:wBefore w:w="10" w:type="dxa"/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B3F2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D86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B9E0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B4D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9C82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2B07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7280" w14:textId="77777777" w:rsidR="006F14A7" w:rsidRDefault="006F14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F14A7" w14:paraId="6A065DCC" w14:textId="77777777" w:rsidTr="00512DF1">
        <w:trPr>
          <w:gridBefore w:val="1"/>
          <w:wBefore w:w="10" w:type="dxa"/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6460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vorderingen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36B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A0B8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8C4E" w14:textId="77777777" w:rsidR="006F14A7" w:rsidRDefault="006F14A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87E5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23D2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2200" w14:textId="77777777" w:rsidR="006F14A7" w:rsidRDefault="006F14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14A7" w14:paraId="7CB42258" w14:textId="77777777" w:rsidTr="00512DF1">
        <w:trPr>
          <w:gridBefore w:val="1"/>
          <w:wBefore w:w="10" w:type="dxa"/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9486F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Activa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C7E53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84.838</w:t>
            </w:r>
          </w:p>
        </w:tc>
        <w:tc>
          <w:tcPr>
            <w:tcW w:w="1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123E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77.997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39111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0A06" w14:textId="77777777" w:rsidR="006F14A7" w:rsidRDefault="006F14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Passiva</w:t>
            </w:r>
          </w:p>
        </w:tc>
        <w:tc>
          <w:tcPr>
            <w:tcW w:w="1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A61A5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84.838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CC22" w14:textId="77777777" w:rsidR="006F14A7" w:rsidRDefault="006F1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77.997</w:t>
            </w:r>
          </w:p>
        </w:tc>
      </w:tr>
    </w:tbl>
    <w:p w14:paraId="7F466881" w14:textId="77777777" w:rsidR="00B10B12" w:rsidRPr="00A11BA2" w:rsidRDefault="00B10B12">
      <w:pPr>
        <w:rPr>
          <w:rFonts w:ascii="Arial" w:hAnsi="Arial" w:cs="Arial"/>
          <w:b/>
          <w:sz w:val="20"/>
          <w:szCs w:val="20"/>
        </w:rPr>
      </w:pPr>
    </w:p>
    <w:p w14:paraId="351E2A59" w14:textId="77777777" w:rsidR="006F14A7" w:rsidRDefault="006F14A7">
      <w:pPr>
        <w:rPr>
          <w:rFonts w:ascii="Arial" w:hAnsi="Arial" w:cs="Arial"/>
          <w:b/>
          <w:sz w:val="20"/>
          <w:szCs w:val="20"/>
        </w:rPr>
      </w:pPr>
    </w:p>
    <w:tbl>
      <w:tblPr>
        <w:tblW w:w="6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1188"/>
        <w:gridCol w:w="988"/>
        <w:gridCol w:w="1125"/>
      </w:tblGrid>
      <w:tr w:rsidR="00E56205" w14:paraId="53A73877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67B1F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financieel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verslag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E0711" w14:textId="77777777" w:rsidR="00E56205" w:rsidRDefault="00E56205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realisatie</w:t>
            </w:r>
            <w:proofErr w:type="gramEnd"/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1D07F" w14:textId="77777777" w:rsidR="00E56205" w:rsidRDefault="00E56205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87041" w14:textId="77777777" w:rsidR="00E56205" w:rsidRDefault="00E56205">
            <w:pPr>
              <w:ind w:firstLineChars="100" w:firstLine="161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realisatie</w:t>
            </w:r>
            <w:proofErr w:type="gramEnd"/>
          </w:p>
        </w:tc>
      </w:tr>
      <w:tr w:rsidR="00E56205" w14:paraId="1CA6061C" w14:textId="77777777" w:rsidTr="00E56205">
        <w:trPr>
          <w:trHeight w:val="250"/>
        </w:trPr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E18AD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bedragen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 euro's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590D1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2019/2020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984F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7D0E9B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2020/2021</w:t>
            </w:r>
          </w:p>
        </w:tc>
      </w:tr>
      <w:tr w:rsidR="00E56205" w14:paraId="2DD80C0F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523AF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inkomsten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6BD4C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90CD1" w14:textId="77777777" w:rsidR="00E56205" w:rsidRDefault="00E562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D594F" w14:textId="77777777" w:rsidR="00E56205" w:rsidRDefault="00E56205">
            <w:pPr>
              <w:rPr>
                <w:sz w:val="20"/>
                <w:szCs w:val="20"/>
              </w:rPr>
            </w:pPr>
          </w:p>
        </w:tc>
      </w:tr>
      <w:tr w:rsidR="00E56205" w14:paraId="5AF72A9F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3658D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contributies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en donaties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C4B7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86.571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668F0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48B78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91.706</w:t>
            </w:r>
          </w:p>
        </w:tc>
      </w:tr>
      <w:tr w:rsidR="00E56205" w14:paraId="79E2CE0B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B0029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inkomsten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symposium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1FC0A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2.661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EC89F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3766C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2.005</w:t>
            </w:r>
          </w:p>
        </w:tc>
      </w:tr>
      <w:tr w:rsidR="00E56205" w14:paraId="42A24A96" w14:textId="77777777" w:rsidTr="00E56205">
        <w:trPr>
          <w:trHeight w:val="26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780C6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overige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inkomsten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DA4F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4.011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3AF340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29D1D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3.227</w:t>
            </w:r>
          </w:p>
        </w:tc>
      </w:tr>
      <w:tr w:rsidR="00E56205" w14:paraId="62C029A0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42971" w14:textId="77777777" w:rsidR="00E56205" w:rsidRDefault="00E562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totaal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inkomsten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6C2CC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93.244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BD16B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DD063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96.938</w:t>
            </w:r>
          </w:p>
        </w:tc>
      </w:tr>
      <w:tr w:rsidR="00E56205" w14:paraId="6FB39E7E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B9CB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uitgaven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4BFA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4AE9B" w14:textId="77777777" w:rsidR="00E56205" w:rsidRDefault="00E562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4E32" w14:textId="77777777" w:rsidR="00E56205" w:rsidRDefault="00E56205">
            <w:pPr>
              <w:rPr>
                <w:sz w:val="20"/>
                <w:szCs w:val="20"/>
              </w:rPr>
            </w:pPr>
          </w:p>
        </w:tc>
      </w:tr>
      <w:tr w:rsidR="00E56205" w14:paraId="38C6FE80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428CE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juridisch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E495D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16F85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00907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56205" w14:paraId="28F089C6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4DBD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tijdschrift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93250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-22.101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FB0F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B39AD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-18.350</w:t>
            </w:r>
          </w:p>
        </w:tc>
      </w:tr>
      <w:tr w:rsidR="00E56205" w14:paraId="4B8CD95A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2484C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jaarvergadering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en symposium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C5D82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-12.005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C0C29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42C1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-13.182</w:t>
            </w:r>
          </w:p>
        </w:tc>
      </w:tr>
      <w:tr w:rsidR="00E56205" w14:paraId="60B1F5B2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B399E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website</w:t>
            </w:r>
            <w:proofErr w:type="gram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E6022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-30.930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AA409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C324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-36.531</w:t>
            </w:r>
          </w:p>
        </w:tc>
      </w:tr>
      <w:tr w:rsidR="00E56205" w14:paraId="1F4E318A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BA1A8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kosten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boeken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6466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-47.912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98A00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00009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-3.574</w:t>
            </w:r>
          </w:p>
        </w:tc>
      </w:tr>
      <w:tr w:rsidR="00E56205" w14:paraId="2EEE58E5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F2D90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aflossing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schulden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3AA27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86E4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AA1CF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56205" w14:paraId="13A947F0" w14:textId="77777777" w:rsidTr="00E56205">
        <w:trPr>
          <w:trHeight w:val="26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502BD" w14:textId="77777777" w:rsidR="00E56205" w:rsidRDefault="00E5620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overige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uitgaven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6D351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-12.025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F48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2384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-18.460</w:t>
            </w:r>
          </w:p>
        </w:tc>
      </w:tr>
      <w:tr w:rsidR="00E56205" w14:paraId="31716EFE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7284" w14:textId="77777777" w:rsidR="00E56205" w:rsidRDefault="00E562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totaal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uitgaven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B11DD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-124.974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911F1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2F69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-90.097</w:t>
            </w:r>
          </w:p>
        </w:tc>
      </w:tr>
      <w:tr w:rsidR="00E56205" w14:paraId="0DC82CB8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BC151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41F5D" w14:textId="77777777" w:rsidR="00E56205" w:rsidRDefault="00E56205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3EB95" w14:textId="77777777" w:rsidR="00E56205" w:rsidRDefault="00E5620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180D4" w14:textId="77777777" w:rsidR="00E56205" w:rsidRDefault="00E56205">
            <w:pPr>
              <w:rPr>
                <w:sz w:val="20"/>
                <w:szCs w:val="20"/>
              </w:rPr>
            </w:pPr>
          </w:p>
        </w:tc>
      </w:tr>
      <w:tr w:rsidR="00E56205" w14:paraId="7C09B370" w14:textId="77777777" w:rsidTr="00E56205">
        <w:trPr>
          <w:trHeight w:val="250"/>
        </w:trPr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8514E" w14:textId="77777777" w:rsidR="00E56205" w:rsidRDefault="00E562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saldo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(min is tekort)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3FB98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-31.730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7E365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3B3FC2" w14:textId="77777777" w:rsidR="00E56205" w:rsidRDefault="00E5620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6.841</w:t>
            </w:r>
          </w:p>
        </w:tc>
      </w:tr>
    </w:tbl>
    <w:p w14:paraId="23CA11CB" w14:textId="77777777" w:rsidR="006F14A7" w:rsidRDefault="006F14A7">
      <w:pPr>
        <w:rPr>
          <w:rFonts w:ascii="Arial" w:hAnsi="Arial" w:cs="Arial"/>
          <w:b/>
          <w:sz w:val="20"/>
          <w:szCs w:val="20"/>
        </w:rPr>
      </w:pPr>
    </w:p>
    <w:p w14:paraId="4B2414AC" w14:textId="614B60B6" w:rsidR="00CD7745" w:rsidRPr="00A11BA2" w:rsidRDefault="00CD7745">
      <w:pPr>
        <w:rPr>
          <w:rFonts w:ascii="Arial" w:hAnsi="Arial" w:cs="Arial"/>
          <w:b/>
          <w:sz w:val="20"/>
          <w:szCs w:val="20"/>
        </w:rPr>
      </w:pPr>
      <w:r w:rsidRPr="00A11BA2">
        <w:rPr>
          <w:rFonts w:ascii="Arial" w:hAnsi="Arial" w:cs="Arial"/>
          <w:b/>
          <w:sz w:val="20"/>
          <w:szCs w:val="20"/>
        </w:rPr>
        <w:t>Toelichting</w:t>
      </w:r>
    </w:p>
    <w:p w14:paraId="4239F568" w14:textId="77777777" w:rsidR="00CD7745" w:rsidRPr="00F738E1" w:rsidRDefault="00CD7745">
      <w:pPr>
        <w:rPr>
          <w:rFonts w:ascii="Arial" w:hAnsi="Arial" w:cs="Arial"/>
          <w:sz w:val="20"/>
          <w:szCs w:val="20"/>
          <w:u w:val="single"/>
        </w:rPr>
      </w:pPr>
      <w:r w:rsidRPr="00F738E1">
        <w:rPr>
          <w:rFonts w:ascii="Arial" w:hAnsi="Arial" w:cs="Arial"/>
          <w:sz w:val="20"/>
          <w:szCs w:val="20"/>
          <w:u w:val="single"/>
        </w:rPr>
        <w:t>Algemeen</w:t>
      </w:r>
    </w:p>
    <w:p w14:paraId="44887857" w14:textId="77777777" w:rsidR="00CD7745" w:rsidRPr="00F738E1" w:rsidRDefault="00CD7745" w:rsidP="002F5F42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>Het verslag is gebaseerd op de kasontwikkeling aangezien de baten en lasten hiervan nauwelijks afwijken (geen noemenswaardige vorderingen of nog te betalen rekeningen).</w:t>
      </w:r>
    </w:p>
    <w:p w14:paraId="427D681D" w14:textId="77777777" w:rsidR="00CD7745" w:rsidRPr="00F738E1" w:rsidRDefault="00CD7745" w:rsidP="002F5F42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De vereniging kent geen vergoedingen aan bestuursleden en heeft geen bezoldigd personeel </w:t>
      </w:r>
    </w:p>
    <w:p w14:paraId="600FF773" w14:textId="77777777" w:rsidR="00CD7745" w:rsidRPr="00F738E1" w:rsidRDefault="00CD7745">
      <w:pPr>
        <w:rPr>
          <w:rFonts w:ascii="Arial" w:hAnsi="Arial" w:cs="Arial"/>
          <w:sz w:val="20"/>
          <w:szCs w:val="20"/>
          <w:u w:val="single"/>
        </w:rPr>
      </w:pPr>
      <w:r w:rsidRPr="00F738E1">
        <w:rPr>
          <w:rFonts w:ascii="Arial" w:hAnsi="Arial" w:cs="Arial"/>
          <w:sz w:val="20"/>
          <w:szCs w:val="20"/>
          <w:u w:val="single"/>
        </w:rPr>
        <w:t>Specifiek</w:t>
      </w:r>
    </w:p>
    <w:p w14:paraId="6607185E" w14:textId="77777777" w:rsidR="00AF2A18" w:rsidRPr="00F738E1" w:rsidRDefault="00AF2A18" w:rsidP="00AF2A18">
      <w:pPr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In het afgelopen boekjaar september 2020 </w:t>
      </w:r>
      <w:proofErr w:type="spellStart"/>
      <w:r w:rsidRPr="00F738E1">
        <w:rPr>
          <w:rFonts w:ascii="Arial" w:hAnsi="Arial" w:cs="Arial"/>
          <w:sz w:val="20"/>
          <w:szCs w:val="20"/>
        </w:rPr>
        <w:t>tm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augustus 2021 is minder uitgegeven (€ 90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) dan ontvangen (€ 97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). De rekening vertoont een overschot van bijna € 7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, iets meer dan de begrote € 5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. Vorig jaar was er een tekort van € 32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. </w:t>
      </w:r>
    </w:p>
    <w:p w14:paraId="393EB1F4" w14:textId="77777777" w:rsidR="00AF2A18" w:rsidRPr="00F738E1" w:rsidRDefault="00AF2A18" w:rsidP="00AF2A18">
      <w:pPr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>De belangrijkste onderdelen van de rekening 2020/2021 zijn:</w:t>
      </w:r>
    </w:p>
    <w:p w14:paraId="353DB562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De uitgaven van ‘Het vizier op </w:t>
      </w:r>
      <w:proofErr w:type="spellStart"/>
      <w:r w:rsidRPr="00F738E1">
        <w:rPr>
          <w:rFonts w:ascii="Arial" w:hAnsi="Arial" w:cs="Arial"/>
          <w:sz w:val="20"/>
          <w:szCs w:val="20"/>
        </w:rPr>
        <w:t>Kackadoris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’ waren met ruim € 3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ongeveer gelijk aan de opbrengsten van de verkoop. </w:t>
      </w:r>
    </w:p>
    <w:p w14:paraId="1B643EFB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Ondanks het feit dat de jaarvergadering en symposium vorig jaar niet fysiek plaatsvonden, waren de uitgaven met € 13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zelfs iets hoger dan het jaar daarvoor, maar hierin was het ontbreken van de locatie uitgaven ten dele al verwerkt.</w:t>
      </w:r>
    </w:p>
    <w:p w14:paraId="6FD0D682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lastRenderedPageBreak/>
        <w:t xml:space="preserve">De kosten van de website waren ongeveer </w:t>
      </w:r>
      <w:proofErr w:type="gramStart"/>
      <w:r w:rsidRPr="00F738E1">
        <w:rPr>
          <w:rFonts w:ascii="Arial" w:hAnsi="Arial" w:cs="Arial"/>
          <w:sz w:val="20"/>
          <w:szCs w:val="20"/>
        </w:rPr>
        <w:t>conform</w:t>
      </w:r>
      <w:proofErr w:type="gramEnd"/>
      <w:r w:rsidRPr="00F738E1">
        <w:rPr>
          <w:rFonts w:ascii="Arial" w:hAnsi="Arial" w:cs="Arial"/>
          <w:sz w:val="20"/>
          <w:szCs w:val="20"/>
        </w:rPr>
        <w:t xml:space="preserve"> de begroting (€ 36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), bijna € 6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meer dan vorig jaar.</w:t>
      </w:r>
    </w:p>
    <w:p w14:paraId="39C22353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De beoogde daling van de uitgaven voor het tijdschrift is grotendeels gerealiseerd: de uitgaven (€ 18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) waren bijna € 4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minder dan het vorig jaar. </w:t>
      </w:r>
    </w:p>
    <w:p w14:paraId="67D208C8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Het totaal van contributies en donaties (€ 92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) was € 5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meer dan vorig jaar, in deze tijden een opmerkelijk resultaat.</w:t>
      </w:r>
    </w:p>
    <w:p w14:paraId="7FA7D47E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>De juridische uitgaven waren nihil.</w:t>
      </w:r>
    </w:p>
    <w:p w14:paraId="648FDEEE" w14:textId="77777777" w:rsidR="00AF2A18" w:rsidRPr="00F738E1" w:rsidRDefault="00AF2A18" w:rsidP="00AF2A18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De kosten van het secretariaat, administratie, Financiën, PR en bestuur samen (€ 18 </w:t>
      </w:r>
      <w:proofErr w:type="spellStart"/>
      <w:r w:rsidRPr="00F738E1">
        <w:rPr>
          <w:rFonts w:ascii="Arial" w:hAnsi="Arial" w:cs="Arial"/>
          <w:sz w:val="20"/>
          <w:szCs w:val="20"/>
        </w:rPr>
        <w:t>dzd</w:t>
      </w:r>
      <w:proofErr w:type="spellEnd"/>
      <w:r w:rsidRPr="00F738E1">
        <w:rPr>
          <w:rFonts w:ascii="Arial" w:hAnsi="Arial" w:cs="Arial"/>
          <w:sz w:val="20"/>
          <w:szCs w:val="20"/>
        </w:rPr>
        <w:t>) was aanzienlijk hoger dan vorig jaar. Voornamelijk door incidentele uitgaven.</w:t>
      </w:r>
    </w:p>
    <w:p w14:paraId="7E6845B8" w14:textId="77777777" w:rsidR="00AF2A18" w:rsidRPr="00F738E1" w:rsidRDefault="00AF2A18" w:rsidP="00AF2A18">
      <w:pPr>
        <w:rPr>
          <w:rFonts w:ascii="Arial" w:hAnsi="Arial" w:cs="Arial"/>
          <w:sz w:val="20"/>
          <w:szCs w:val="20"/>
        </w:rPr>
      </w:pPr>
    </w:p>
    <w:p w14:paraId="0147AE51" w14:textId="77777777" w:rsidR="00AF2A18" w:rsidRPr="00F738E1" w:rsidRDefault="00AF2A18" w:rsidP="00AF2A18">
      <w:pPr>
        <w:rPr>
          <w:rFonts w:ascii="Arial" w:hAnsi="Arial" w:cs="Arial"/>
          <w:sz w:val="20"/>
          <w:szCs w:val="20"/>
        </w:rPr>
      </w:pPr>
      <w:r w:rsidRPr="00F738E1">
        <w:rPr>
          <w:rFonts w:ascii="Arial" w:hAnsi="Arial" w:cs="Arial"/>
          <w:sz w:val="20"/>
          <w:szCs w:val="20"/>
        </w:rPr>
        <w:t xml:space="preserve">De kascommissie, bestaande uit de leden M. Coster en W.W. Meijer, heeft de jaarrekening over september 2020 </w:t>
      </w:r>
      <w:proofErr w:type="spellStart"/>
      <w:r w:rsidRPr="00F738E1">
        <w:rPr>
          <w:rFonts w:ascii="Arial" w:hAnsi="Arial" w:cs="Arial"/>
          <w:sz w:val="20"/>
          <w:szCs w:val="20"/>
        </w:rPr>
        <w:t>tm</w:t>
      </w:r>
      <w:proofErr w:type="spellEnd"/>
      <w:r w:rsidRPr="00F738E1">
        <w:rPr>
          <w:rFonts w:ascii="Arial" w:hAnsi="Arial" w:cs="Arial"/>
          <w:sz w:val="20"/>
          <w:szCs w:val="20"/>
        </w:rPr>
        <w:t xml:space="preserve"> augustus 2021 onderzocht. Op hun advies heeft de vergadering het bestuur decharge verleend voor de jaarrekening. </w:t>
      </w:r>
    </w:p>
    <w:p w14:paraId="61EF2573" w14:textId="77777777" w:rsidR="00562AE5" w:rsidRPr="00F738E1" w:rsidRDefault="00562AE5" w:rsidP="00562AE5">
      <w:pPr>
        <w:rPr>
          <w:rFonts w:ascii="Arial" w:hAnsi="Arial" w:cs="Arial"/>
          <w:sz w:val="20"/>
          <w:szCs w:val="20"/>
        </w:rPr>
      </w:pPr>
    </w:p>
    <w:sectPr w:rsidR="00562AE5" w:rsidRPr="00F738E1" w:rsidSect="0034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3DA"/>
    <w:multiLevelType w:val="hybridMultilevel"/>
    <w:tmpl w:val="BA68BC5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296"/>
    <w:multiLevelType w:val="hybridMultilevel"/>
    <w:tmpl w:val="D292C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65A"/>
    <w:multiLevelType w:val="hybridMultilevel"/>
    <w:tmpl w:val="FA0EAA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5A74"/>
    <w:multiLevelType w:val="hybridMultilevel"/>
    <w:tmpl w:val="D25A82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0E9"/>
    <w:multiLevelType w:val="hybridMultilevel"/>
    <w:tmpl w:val="0F243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1"/>
    <w:rsid w:val="0002482D"/>
    <w:rsid w:val="000864DC"/>
    <w:rsid w:val="000C44F7"/>
    <w:rsid w:val="000D6C81"/>
    <w:rsid w:val="000F2E52"/>
    <w:rsid w:val="00114268"/>
    <w:rsid w:val="00133215"/>
    <w:rsid w:val="00135A2A"/>
    <w:rsid w:val="0018451B"/>
    <w:rsid w:val="001C316C"/>
    <w:rsid w:val="001E030C"/>
    <w:rsid w:val="002734F0"/>
    <w:rsid w:val="002A10DB"/>
    <w:rsid w:val="002C089F"/>
    <w:rsid w:val="002F5F42"/>
    <w:rsid w:val="00340E4A"/>
    <w:rsid w:val="00387C89"/>
    <w:rsid w:val="00411143"/>
    <w:rsid w:val="00475E01"/>
    <w:rsid w:val="004D6DED"/>
    <w:rsid w:val="00512DF1"/>
    <w:rsid w:val="00562AE5"/>
    <w:rsid w:val="00581B38"/>
    <w:rsid w:val="005B3787"/>
    <w:rsid w:val="005D00CF"/>
    <w:rsid w:val="006506AE"/>
    <w:rsid w:val="0065276A"/>
    <w:rsid w:val="006635C6"/>
    <w:rsid w:val="00680031"/>
    <w:rsid w:val="006833F7"/>
    <w:rsid w:val="006B0323"/>
    <w:rsid w:val="006F14A7"/>
    <w:rsid w:val="00716292"/>
    <w:rsid w:val="007B7814"/>
    <w:rsid w:val="00804AC5"/>
    <w:rsid w:val="0082159F"/>
    <w:rsid w:val="008D7642"/>
    <w:rsid w:val="00930BE5"/>
    <w:rsid w:val="00980DB7"/>
    <w:rsid w:val="009C5062"/>
    <w:rsid w:val="00A11BA2"/>
    <w:rsid w:val="00A11FE6"/>
    <w:rsid w:val="00A83361"/>
    <w:rsid w:val="00AB5620"/>
    <w:rsid w:val="00AC3FB4"/>
    <w:rsid w:val="00AE6298"/>
    <w:rsid w:val="00AF2A18"/>
    <w:rsid w:val="00B10B12"/>
    <w:rsid w:val="00B67A56"/>
    <w:rsid w:val="00BD3269"/>
    <w:rsid w:val="00C45862"/>
    <w:rsid w:val="00C4795A"/>
    <w:rsid w:val="00C63ACC"/>
    <w:rsid w:val="00CB5EA3"/>
    <w:rsid w:val="00CD64DE"/>
    <w:rsid w:val="00CD7745"/>
    <w:rsid w:val="00D24E0F"/>
    <w:rsid w:val="00D27507"/>
    <w:rsid w:val="00DA3D64"/>
    <w:rsid w:val="00DC7785"/>
    <w:rsid w:val="00E35F08"/>
    <w:rsid w:val="00E55210"/>
    <w:rsid w:val="00E56205"/>
    <w:rsid w:val="00E66CD8"/>
    <w:rsid w:val="00EC65F0"/>
    <w:rsid w:val="00F27211"/>
    <w:rsid w:val="00F5221D"/>
    <w:rsid w:val="00F738E1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3EE67"/>
  <w15:chartTrackingRefBased/>
  <w15:docId w15:val="{F2DB8773-DF6F-447E-BF13-D639CE3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40E4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2750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tegen de Kwakzalverij</vt:lpstr>
    </vt:vector>
  </TitlesOfParts>
  <Company>Onze Lieve Vrouwe Gasthuis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tegen de Kwakzalverij</dc:title>
  <dc:subject/>
  <dc:creator>Rob</dc:creator>
  <cp:keywords/>
  <dc:description/>
  <cp:lastModifiedBy>r giebels</cp:lastModifiedBy>
  <cp:revision>18</cp:revision>
  <cp:lastPrinted>2015-01-12T09:15:00Z</cp:lastPrinted>
  <dcterms:created xsi:type="dcterms:W3CDTF">2022-01-23T15:06:00Z</dcterms:created>
  <dcterms:modified xsi:type="dcterms:W3CDTF">2022-01-23T16:43:00Z</dcterms:modified>
</cp:coreProperties>
</file>